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21D3E">
      <w:pPr>
        <w:spacing w:line="560" w:lineRule="exact"/>
        <w:ind w:firstLine="640" w:firstLineChars="200"/>
        <w:rPr>
          <w:rFonts w:hint="eastAsia" w:ascii="彩虹粗仿宋" w:hAnsi="宋体" w:eastAsia="彩虹粗仿宋"/>
          <w:color w:val="auto"/>
          <w:sz w:val="32"/>
          <w:szCs w:val="32"/>
          <w:highlight w:val="none"/>
        </w:rPr>
      </w:pPr>
    </w:p>
    <w:p w14:paraId="4300C762">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bookmarkStart w:id="0" w:name="_GoBack"/>
      <w:r>
        <w:rPr>
          <w:rFonts w:hint="eastAsia" w:ascii="彩虹小标宋" w:hAnsi="彩虹小标宋" w:eastAsia="彩虹小标宋" w:cs="彩虹小标宋"/>
          <w:i w:val="0"/>
          <w:iCs w:val="0"/>
          <w:color w:val="auto"/>
          <w:kern w:val="0"/>
          <w:sz w:val="44"/>
          <w:szCs w:val="44"/>
          <w:highlight w:val="none"/>
          <w:u w:val="none"/>
          <w:lang w:val="en-US" w:eastAsia="zh-CN" w:bidi="ar"/>
        </w:rPr>
        <w:t>南宁县域</w:t>
      </w:r>
      <w:bookmarkEnd w:id="0"/>
      <w:r>
        <w:rPr>
          <w:rFonts w:hint="eastAsia" w:ascii="彩虹小标宋" w:hAnsi="彩虹小标宋" w:eastAsia="彩虹小标宋" w:cs="彩虹小标宋"/>
          <w:i w:val="0"/>
          <w:iCs w:val="0"/>
          <w:color w:val="auto"/>
          <w:kern w:val="0"/>
          <w:sz w:val="44"/>
          <w:szCs w:val="44"/>
          <w:highlight w:val="none"/>
          <w:u w:val="none"/>
          <w:lang w:val="en-US" w:eastAsia="zh-CN" w:bidi="ar"/>
        </w:rPr>
        <w:t>网点钞币押运及尾箱寄库</w:t>
      </w:r>
    </w:p>
    <w:p w14:paraId="7B66FDE1">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保管服务采购需求</w:t>
      </w:r>
    </w:p>
    <w:p w14:paraId="4874C816">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3F46B5D9">
      <w:pPr>
        <w:numPr>
          <w:ilvl w:val="0"/>
          <w:numId w:val="1"/>
        </w:numPr>
        <w:spacing w:line="360" w:lineRule="auto"/>
        <w:ind w:left="645"/>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项目名称及合同期限</w:t>
      </w:r>
    </w:p>
    <w:p w14:paraId="2D9556B6">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项目名称：南宁县域网点钞币押运及尾箱寄库保管服务项目</w:t>
      </w:r>
    </w:p>
    <w:p w14:paraId="4DBF7073">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77EA27DC">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0BF81E15">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71319EE9">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6ECD698F">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5A8213E2">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4F899CF7">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lang w:val="en-US" w:eastAsia="zh-CN"/>
        </w:rPr>
        <w:t>县域内的</w:t>
      </w:r>
      <w:r>
        <w:rPr>
          <w:rFonts w:hint="eastAsia" w:ascii="彩虹粗仿宋" w:eastAsia="彩虹粗仿宋" w:cs="宋体"/>
          <w:color w:val="auto"/>
          <w:sz w:val="32"/>
          <w:szCs w:val="32"/>
          <w:highlight w:val="none"/>
        </w:rPr>
        <w:t>日常现金、重空、贵金属调拨</w:t>
      </w:r>
      <w:r>
        <w:rPr>
          <w:rFonts w:hint="eastAsia" w:ascii="彩虹粗仿宋" w:eastAsia="彩虹粗仿宋" w:cs="宋体"/>
          <w:color w:val="auto"/>
          <w:sz w:val="32"/>
          <w:szCs w:val="32"/>
          <w:highlight w:val="none"/>
          <w:lang w:val="en-US" w:eastAsia="zh-CN"/>
        </w:rPr>
        <w:t>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2A526513">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r>
        <w:rPr>
          <w:rFonts w:hint="eastAsia" w:ascii="彩虹粗仿宋" w:eastAsia="彩虹粗仿宋" w:cs="宋体"/>
          <w:color w:val="auto"/>
          <w:sz w:val="32"/>
          <w:szCs w:val="32"/>
          <w:highlight w:val="none"/>
          <w:lang w:val="en-US" w:eastAsia="zh-CN"/>
        </w:rPr>
        <w:t>（县城以外的押运业务，主要是县支行到管辖分行金库范围内）</w:t>
      </w:r>
      <w:r>
        <w:rPr>
          <w:rFonts w:hint="eastAsia" w:ascii="彩虹粗仿宋" w:eastAsia="彩虹粗仿宋" w:cs="宋体"/>
          <w:color w:val="auto"/>
          <w:sz w:val="32"/>
          <w:szCs w:val="32"/>
          <w:highlight w:val="none"/>
        </w:rPr>
        <w:t>。</w:t>
      </w:r>
    </w:p>
    <w:p w14:paraId="21E1C887">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6100FC7F">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537D89AD">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1BBC5F6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68AA4CE5">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1D03C407">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1239069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32426299">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05B180B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4C9C0C30">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0BE206EF">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072269A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2．网点押运的每辆钞车配备押运人员2名、解款员2名和驾驶员1名；人民银行现金领缴每辆配备押运人员2名和驾驶员1名。</w:t>
      </w:r>
    </w:p>
    <w:p w14:paraId="7C23DE2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4F9F779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3ADEE62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76921AA3">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3955C28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698B5C0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132242A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0199691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5C7969CD">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75C6475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6742626F">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6248C54B">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13832189">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57A0A41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3A2D8220">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0CD9B476">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6E79F3AC">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08E5E7FA">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5B9937BC">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17608A3D">
      <w:pPr>
        <w:widowControl w:val="0"/>
        <w:numPr>
          <w:ilvl w:val="0"/>
          <w:numId w:val="0"/>
        </w:numPr>
        <w:autoSpaceDE w:val="0"/>
        <w:autoSpaceDN w:val="0"/>
        <w:adjustRightInd w:val="0"/>
        <w:spacing w:line="360" w:lineRule="auto"/>
        <w:ind w:leftChars="200"/>
        <w:jc w:val="both"/>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45F2348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239EB690">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lang w:val="en-US" w:eastAsia="zh-CN"/>
        </w:rPr>
        <w:t>五</w:t>
      </w:r>
      <w:r>
        <w:rPr>
          <w:rFonts w:hint="eastAsia" w:ascii="彩虹粗仿宋" w:hAnsi="宋体" w:eastAsia="彩虹粗仿宋" w:cs="Times New Roman"/>
          <w:snapToGrid w:val="0"/>
          <w:color w:val="auto"/>
          <w:kern w:val="0"/>
          <w:sz w:val="32"/>
          <w:szCs w:val="32"/>
          <w:highlight w:val="none"/>
        </w:rPr>
        <w:t>、</w:t>
      </w:r>
      <w:r>
        <w:rPr>
          <w:rFonts w:hint="eastAsia" w:ascii="彩虹粗仿宋" w:hAnsi="宋体" w:eastAsia="彩虹粗仿宋" w:cs="Times New Roman"/>
          <w:b/>
          <w:snapToGrid w:val="0"/>
          <w:color w:val="auto"/>
          <w:kern w:val="0"/>
          <w:sz w:val="32"/>
          <w:szCs w:val="32"/>
          <w:highlight w:val="none"/>
        </w:rPr>
        <w:t>款项支付要求</w:t>
      </w:r>
    </w:p>
    <w:p w14:paraId="16BF7E9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5FE2A105">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我行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5FAC7DE7">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846"/>
        <w:gridCol w:w="992"/>
        <w:gridCol w:w="993"/>
        <w:gridCol w:w="993"/>
        <w:gridCol w:w="1021"/>
      </w:tblGrid>
      <w:tr w14:paraId="43877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3615">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43C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E8B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33B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预估数量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EDC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8B93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A31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DEAD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10C89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7064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988EA">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南宁县域网点尾箱早晚押运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F02B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3DC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FA3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557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147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FBF1E">
            <w:pPr>
              <w:jc w:val="center"/>
              <w:rPr>
                <w:rFonts w:hint="eastAsia" w:ascii="彩虹粗仿宋" w:hAnsi="彩虹粗仿宋" w:eastAsia="彩虹粗仿宋" w:cs="彩虹粗仿宋"/>
                <w:i w:val="0"/>
                <w:iCs w:val="0"/>
                <w:color w:val="auto"/>
                <w:sz w:val="24"/>
                <w:szCs w:val="24"/>
                <w:highlight w:val="none"/>
                <w:u w:val="none"/>
              </w:rPr>
            </w:pPr>
          </w:p>
        </w:tc>
      </w:tr>
      <w:tr w14:paraId="43A9F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7DD6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1D94">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南宁县域网点尾箱寄库保管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845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9FC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426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6DFA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E46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BF1D">
            <w:pPr>
              <w:jc w:val="center"/>
              <w:rPr>
                <w:rFonts w:hint="eastAsia" w:ascii="彩虹粗仿宋" w:hAnsi="彩虹粗仿宋" w:eastAsia="彩虹粗仿宋" w:cs="彩虹粗仿宋"/>
                <w:i w:val="0"/>
                <w:iCs w:val="0"/>
                <w:color w:val="auto"/>
                <w:sz w:val="24"/>
                <w:szCs w:val="24"/>
                <w:highlight w:val="none"/>
                <w:u w:val="none"/>
              </w:rPr>
            </w:pPr>
          </w:p>
        </w:tc>
      </w:tr>
      <w:tr w14:paraId="1FB2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471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1E74">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南宁县域网点其他临时性押运（距离金库单程超出20公里部分按长途押运往返路程另行计费）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93B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58C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480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288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389A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50ED2">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1744">
            <w:pPr>
              <w:jc w:val="center"/>
              <w:rPr>
                <w:rFonts w:hint="eastAsia" w:ascii="彩虹粗仿宋" w:hAnsi="彩虹粗仿宋" w:eastAsia="彩虹粗仿宋" w:cs="彩虹粗仿宋"/>
                <w:i w:val="0"/>
                <w:iCs w:val="0"/>
                <w:color w:val="auto"/>
                <w:sz w:val="24"/>
                <w:szCs w:val="24"/>
                <w:highlight w:val="none"/>
                <w:u w:val="none"/>
              </w:rPr>
            </w:pPr>
          </w:p>
        </w:tc>
      </w:tr>
      <w:tr w14:paraId="5C954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539D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899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南宁县域网点按次上门收送款押运（距离金库单程超出20公里部分按长途押运往返路程另行计费）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043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B72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E3A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863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DDED">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652B">
            <w:pPr>
              <w:jc w:val="center"/>
              <w:rPr>
                <w:rFonts w:hint="eastAsia" w:ascii="彩虹粗仿宋" w:hAnsi="彩虹粗仿宋" w:eastAsia="彩虹粗仿宋" w:cs="彩虹粗仿宋"/>
                <w:i w:val="0"/>
                <w:iCs w:val="0"/>
                <w:color w:val="auto"/>
                <w:sz w:val="24"/>
                <w:szCs w:val="24"/>
                <w:highlight w:val="none"/>
                <w:u w:val="none"/>
              </w:rPr>
            </w:pPr>
          </w:p>
        </w:tc>
      </w:tr>
      <w:tr w14:paraId="5CE75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893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022D">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南宁县域网点包年上门收送款押运（距离金库单程超出20公里部分按长途押运往返路程另行计费）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41D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32C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E781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81C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B932">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14119">
            <w:pPr>
              <w:jc w:val="center"/>
              <w:rPr>
                <w:rFonts w:hint="eastAsia" w:ascii="彩虹粗仿宋" w:hAnsi="彩虹粗仿宋" w:eastAsia="彩虹粗仿宋" w:cs="彩虹粗仿宋"/>
                <w:i w:val="0"/>
                <w:iCs w:val="0"/>
                <w:color w:val="auto"/>
                <w:sz w:val="24"/>
                <w:szCs w:val="24"/>
                <w:highlight w:val="none"/>
                <w:u w:val="none"/>
              </w:rPr>
            </w:pPr>
          </w:p>
        </w:tc>
      </w:tr>
      <w:tr w14:paraId="005EB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8AB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4AB9">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长途押运（含二次调拨押运）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5EA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EF3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520000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2F3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764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1D64E">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67C5">
            <w:pPr>
              <w:jc w:val="center"/>
              <w:rPr>
                <w:rFonts w:hint="eastAsia" w:ascii="彩虹粗仿宋" w:hAnsi="彩虹粗仿宋" w:eastAsia="彩虹粗仿宋" w:cs="彩虹粗仿宋"/>
                <w:i w:val="0"/>
                <w:iCs w:val="0"/>
                <w:color w:val="auto"/>
                <w:sz w:val="24"/>
                <w:szCs w:val="24"/>
                <w:highlight w:val="none"/>
                <w:u w:val="none"/>
              </w:rPr>
            </w:pPr>
          </w:p>
        </w:tc>
      </w:tr>
      <w:tr w14:paraId="062C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34ADF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F1B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5754">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7EDC">
            <w:pPr>
              <w:rPr>
                <w:rFonts w:hint="eastAsia" w:ascii="宋体" w:hAnsi="宋体" w:eastAsia="宋体" w:cs="宋体"/>
                <w:i w:val="0"/>
                <w:iCs w:val="0"/>
                <w:color w:val="auto"/>
                <w:sz w:val="22"/>
                <w:szCs w:val="22"/>
                <w:highlight w:val="none"/>
                <w:u w:val="none"/>
              </w:rPr>
            </w:pPr>
          </w:p>
        </w:tc>
      </w:tr>
    </w:tbl>
    <w:p w14:paraId="356C930F">
      <w:pPr>
        <w:numPr>
          <w:ilvl w:val="0"/>
          <w:numId w:val="0"/>
        </w:numPr>
        <w:spacing w:line="360" w:lineRule="auto"/>
        <w:ind w:firstLine="640" w:firstLineChars="200"/>
        <w:textAlignment w:val="baseline"/>
        <w:rPr>
          <w:rFonts w:hint="eastAsia" w:ascii="彩虹粗仿宋" w:hAnsi="宋体" w:eastAsia="彩虹粗仿宋"/>
          <w:b w:val="0"/>
          <w:bCs w:val="0"/>
          <w:color w:val="auto"/>
          <w:sz w:val="32"/>
          <w:szCs w:val="32"/>
          <w:highlight w:val="none"/>
          <w:lang w:eastAsia="zh-CN"/>
        </w:rPr>
      </w:pPr>
      <w:r>
        <w:rPr>
          <w:rFonts w:hint="eastAsia" w:ascii="彩虹粗仿宋" w:hAnsi="宋体" w:eastAsia="彩虹粗仿宋"/>
          <w:b w:val="0"/>
          <w:bCs w:val="0"/>
          <w:color w:val="auto"/>
          <w:sz w:val="32"/>
          <w:szCs w:val="32"/>
          <w:highlight w:val="none"/>
          <w:lang w:val="en-US" w:eastAsia="zh-CN"/>
        </w:rPr>
        <w:t>注意：1.</w:t>
      </w:r>
      <w:r>
        <w:rPr>
          <w:rFonts w:hint="eastAsia" w:ascii="彩虹粗仿宋" w:hAnsi="宋体" w:eastAsia="彩虹粗仿宋"/>
          <w:b w:val="0"/>
          <w:bCs w:val="0"/>
          <w:color w:val="auto"/>
          <w:sz w:val="32"/>
          <w:szCs w:val="32"/>
          <w:highlight w:val="none"/>
        </w:rPr>
        <w:t>长途押运过程中，同</w:t>
      </w:r>
      <w:r>
        <w:rPr>
          <w:rFonts w:ascii="彩虹粗仿宋" w:hAnsi="宋体" w:eastAsia="彩虹粗仿宋"/>
          <w:b w:val="0"/>
          <w:bCs w:val="0"/>
          <w:color w:val="auto"/>
          <w:sz w:val="32"/>
          <w:szCs w:val="32"/>
          <w:highlight w:val="none"/>
        </w:rPr>
        <w:t>一车次，前往</w:t>
      </w:r>
      <w:r>
        <w:rPr>
          <w:rFonts w:hint="eastAsia" w:ascii="彩虹粗仿宋" w:hAnsi="宋体" w:eastAsia="彩虹粗仿宋"/>
          <w:b w:val="0"/>
          <w:bCs w:val="0"/>
          <w:color w:val="auto"/>
          <w:sz w:val="32"/>
          <w:szCs w:val="32"/>
          <w:highlight w:val="none"/>
        </w:rPr>
        <w:t>2个</w:t>
      </w:r>
      <w:r>
        <w:rPr>
          <w:rFonts w:ascii="彩虹粗仿宋" w:hAnsi="宋体" w:eastAsia="彩虹粗仿宋"/>
          <w:b w:val="0"/>
          <w:bCs w:val="0"/>
          <w:color w:val="auto"/>
          <w:sz w:val="32"/>
          <w:szCs w:val="32"/>
          <w:highlight w:val="none"/>
        </w:rPr>
        <w:t>以上不同</w:t>
      </w:r>
      <w:r>
        <w:rPr>
          <w:rFonts w:hint="eastAsia" w:ascii="彩虹粗仿宋" w:hAnsi="宋体" w:eastAsia="彩虹粗仿宋"/>
          <w:b w:val="0"/>
          <w:bCs w:val="0"/>
          <w:color w:val="auto"/>
          <w:sz w:val="32"/>
          <w:szCs w:val="32"/>
          <w:highlight w:val="none"/>
        </w:rPr>
        <w:t>的</w:t>
      </w:r>
      <w:r>
        <w:rPr>
          <w:rFonts w:ascii="彩虹粗仿宋" w:hAnsi="宋体" w:eastAsia="彩虹粗仿宋"/>
          <w:b w:val="0"/>
          <w:bCs w:val="0"/>
          <w:color w:val="auto"/>
          <w:sz w:val="32"/>
          <w:szCs w:val="32"/>
          <w:highlight w:val="none"/>
        </w:rPr>
        <w:t>县域，按</w:t>
      </w:r>
      <w:r>
        <w:rPr>
          <w:rFonts w:hint="eastAsia" w:ascii="彩虹粗仿宋" w:hAnsi="宋体" w:eastAsia="彩虹粗仿宋"/>
          <w:b w:val="0"/>
          <w:bCs w:val="0"/>
          <w:color w:val="auto"/>
          <w:sz w:val="32"/>
          <w:szCs w:val="32"/>
          <w:highlight w:val="none"/>
        </w:rPr>
        <w:t>实际</w:t>
      </w:r>
      <w:r>
        <w:rPr>
          <w:rFonts w:ascii="彩虹粗仿宋" w:hAnsi="宋体" w:eastAsia="彩虹粗仿宋"/>
          <w:b w:val="0"/>
          <w:bCs w:val="0"/>
          <w:color w:val="auto"/>
          <w:sz w:val="32"/>
          <w:szCs w:val="32"/>
          <w:highlight w:val="none"/>
        </w:rPr>
        <w:t>行程</w:t>
      </w:r>
      <w:r>
        <w:rPr>
          <w:rFonts w:hint="eastAsia" w:ascii="彩虹粗仿宋" w:hAnsi="宋体" w:eastAsia="彩虹粗仿宋"/>
          <w:b w:val="0"/>
          <w:bCs w:val="0"/>
          <w:color w:val="auto"/>
          <w:sz w:val="32"/>
          <w:szCs w:val="32"/>
          <w:highlight w:val="none"/>
        </w:rPr>
        <w:t>公里数计费</w:t>
      </w:r>
      <w:r>
        <w:rPr>
          <w:rFonts w:ascii="彩虹粗仿宋" w:hAnsi="宋体" w:eastAsia="彩虹粗仿宋"/>
          <w:b w:val="0"/>
          <w:bCs w:val="0"/>
          <w:color w:val="auto"/>
          <w:sz w:val="32"/>
          <w:szCs w:val="32"/>
          <w:highlight w:val="none"/>
        </w:rPr>
        <w:t>。</w:t>
      </w:r>
      <w:r>
        <w:rPr>
          <w:rFonts w:hint="eastAsia" w:ascii="彩虹粗仿宋" w:hAnsi="宋体" w:eastAsia="彩虹粗仿宋"/>
          <w:b w:val="0"/>
          <w:bCs w:val="0"/>
          <w:color w:val="auto"/>
          <w:sz w:val="32"/>
          <w:szCs w:val="32"/>
          <w:highlight w:val="none"/>
        </w:rPr>
        <w:t>2.二次</w:t>
      </w:r>
      <w:r>
        <w:rPr>
          <w:rFonts w:ascii="彩虹粗仿宋" w:hAnsi="宋体" w:eastAsia="彩虹粗仿宋"/>
          <w:b w:val="0"/>
          <w:bCs w:val="0"/>
          <w:color w:val="auto"/>
          <w:sz w:val="32"/>
          <w:szCs w:val="32"/>
          <w:highlight w:val="none"/>
        </w:rPr>
        <w:t>调拨</w:t>
      </w:r>
      <w:r>
        <w:rPr>
          <w:rFonts w:hint="eastAsia" w:ascii="彩虹粗仿宋" w:hAnsi="宋体" w:eastAsia="彩虹粗仿宋"/>
          <w:b w:val="0"/>
          <w:bCs w:val="0"/>
          <w:color w:val="auto"/>
          <w:sz w:val="32"/>
          <w:szCs w:val="32"/>
          <w:highlight w:val="none"/>
        </w:rPr>
        <w:t>到一</w:t>
      </w:r>
      <w:r>
        <w:rPr>
          <w:rFonts w:ascii="彩虹粗仿宋" w:hAnsi="宋体" w:eastAsia="彩虹粗仿宋"/>
          <w:b w:val="0"/>
          <w:bCs w:val="0"/>
          <w:color w:val="auto"/>
          <w:sz w:val="32"/>
          <w:szCs w:val="32"/>
          <w:highlight w:val="none"/>
        </w:rPr>
        <w:t>个县支行</w:t>
      </w:r>
      <w:r>
        <w:rPr>
          <w:rFonts w:hint="eastAsia" w:ascii="彩虹粗仿宋" w:hAnsi="宋体" w:eastAsia="彩虹粗仿宋"/>
          <w:b w:val="0"/>
          <w:bCs w:val="0"/>
          <w:color w:val="auto"/>
          <w:sz w:val="32"/>
          <w:szCs w:val="32"/>
          <w:highlight w:val="none"/>
        </w:rPr>
        <w:t>多</w:t>
      </w:r>
      <w:r>
        <w:rPr>
          <w:rFonts w:ascii="彩虹粗仿宋" w:hAnsi="宋体" w:eastAsia="彩虹粗仿宋"/>
          <w:b w:val="0"/>
          <w:bCs w:val="0"/>
          <w:color w:val="auto"/>
          <w:sz w:val="32"/>
          <w:szCs w:val="32"/>
          <w:highlight w:val="none"/>
        </w:rPr>
        <w:t>个网点</w:t>
      </w:r>
      <w:r>
        <w:rPr>
          <w:rFonts w:hint="eastAsia" w:ascii="彩虹粗仿宋" w:hAnsi="宋体" w:eastAsia="彩虹粗仿宋"/>
          <w:b w:val="0"/>
          <w:bCs w:val="0"/>
          <w:color w:val="auto"/>
          <w:sz w:val="32"/>
          <w:szCs w:val="32"/>
          <w:highlight w:val="none"/>
        </w:rPr>
        <w:t>的</w:t>
      </w:r>
      <w:r>
        <w:rPr>
          <w:rFonts w:ascii="彩虹粗仿宋" w:hAnsi="宋体" w:eastAsia="彩虹粗仿宋"/>
          <w:b w:val="0"/>
          <w:bCs w:val="0"/>
          <w:color w:val="auto"/>
          <w:sz w:val="32"/>
          <w:szCs w:val="32"/>
          <w:highlight w:val="none"/>
        </w:rPr>
        <w:t>，</w:t>
      </w:r>
      <w:r>
        <w:rPr>
          <w:rFonts w:hint="eastAsia" w:ascii="彩虹粗仿宋" w:hAnsi="宋体" w:eastAsia="彩虹粗仿宋"/>
          <w:b w:val="0"/>
          <w:bCs w:val="0"/>
          <w:color w:val="auto"/>
          <w:sz w:val="32"/>
          <w:szCs w:val="32"/>
          <w:highlight w:val="none"/>
        </w:rPr>
        <w:t>只能</w:t>
      </w:r>
      <w:r>
        <w:rPr>
          <w:rFonts w:ascii="彩虹粗仿宋" w:hAnsi="宋体" w:eastAsia="彩虹粗仿宋"/>
          <w:b w:val="0"/>
          <w:bCs w:val="0"/>
          <w:color w:val="auto"/>
          <w:sz w:val="32"/>
          <w:szCs w:val="32"/>
          <w:highlight w:val="none"/>
        </w:rPr>
        <w:t>按</w:t>
      </w:r>
      <w:r>
        <w:rPr>
          <w:rFonts w:hint="eastAsia" w:ascii="彩虹粗仿宋" w:hAnsi="宋体" w:eastAsia="彩虹粗仿宋"/>
          <w:b w:val="0"/>
          <w:bCs w:val="0"/>
          <w:color w:val="auto"/>
          <w:sz w:val="32"/>
          <w:szCs w:val="32"/>
          <w:highlight w:val="none"/>
        </w:rPr>
        <w:t>1个</w:t>
      </w:r>
      <w:r>
        <w:rPr>
          <w:rFonts w:ascii="彩虹粗仿宋" w:hAnsi="宋体" w:eastAsia="彩虹粗仿宋"/>
          <w:b w:val="0"/>
          <w:bCs w:val="0"/>
          <w:color w:val="auto"/>
          <w:sz w:val="32"/>
          <w:szCs w:val="32"/>
          <w:highlight w:val="none"/>
        </w:rPr>
        <w:t>支行</w:t>
      </w:r>
      <w:r>
        <w:rPr>
          <w:rFonts w:hint="eastAsia" w:ascii="彩虹粗仿宋" w:hAnsi="宋体" w:eastAsia="彩虹粗仿宋"/>
          <w:b w:val="0"/>
          <w:bCs w:val="0"/>
          <w:color w:val="auto"/>
          <w:sz w:val="32"/>
          <w:szCs w:val="32"/>
          <w:highlight w:val="none"/>
        </w:rPr>
        <w:t>计算1</w:t>
      </w:r>
      <w:r>
        <w:rPr>
          <w:rFonts w:ascii="彩虹粗仿宋" w:hAnsi="宋体" w:eastAsia="彩虹粗仿宋"/>
          <w:b w:val="0"/>
          <w:bCs w:val="0"/>
          <w:color w:val="auto"/>
          <w:sz w:val="32"/>
          <w:szCs w:val="32"/>
          <w:highlight w:val="none"/>
        </w:rPr>
        <w:t>次，不得按</w:t>
      </w:r>
      <w:r>
        <w:rPr>
          <w:rFonts w:hint="eastAsia" w:ascii="彩虹粗仿宋" w:hAnsi="宋体" w:eastAsia="彩虹粗仿宋"/>
          <w:b w:val="0"/>
          <w:bCs w:val="0"/>
          <w:color w:val="auto"/>
          <w:sz w:val="32"/>
          <w:szCs w:val="32"/>
          <w:highlight w:val="none"/>
        </w:rPr>
        <w:t>多</w:t>
      </w:r>
      <w:r>
        <w:rPr>
          <w:rFonts w:ascii="彩虹粗仿宋" w:hAnsi="宋体" w:eastAsia="彩虹粗仿宋"/>
          <w:b w:val="0"/>
          <w:bCs w:val="0"/>
          <w:color w:val="auto"/>
          <w:sz w:val="32"/>
          <w:szCs w:val="32"/>
          <w:highlight w:val="none"/>
        </w:rPr>
        <w:t>网点计算</w:t>
      </w:r>
      <w:r>
        <w:rPr>
          <w:rFonts w:hint="eastAsia" w:ascii="彩虹粗仿宋" w:hAnsi="宋体" w:eastAsia="彩虹粗仿宋"/>
          <w:b w:val="0"/>
          <w:bCs w:val="0"/>
          <w:color w:val="auto"/>
          <w:sz w:val="32"/>
          <w:szCs w:val="32"/>
          <w:highlight w:val="none"/>
        </w:rPr>
        <w:t>。</w:t>
      </w:r>
    </w:p>
    <w:p w14:paraId="4F5C6F9C">
      <w:pPr>
        <w:numPr>
          <w:ilvl w:val="0"/>
          <w:numId w:val="0"/>
        </w:numPr>
        <w:spacing w:line="360" w:lineRule="auto"/>
        <w:ind w:firstLine="640" w:firstLineChars="200"/>
        <w:textAlignment w:val="baseline"/>
        <w:rPr>
          <w:rFonts w:hint="eastAsia" w:ascii="彩虹粗仿宋" w:hAnsi="宋体" w:eastAsia="彩虹粗仿宋"/>
          <w:b w:val="0"/>
          <w:bCs w:val="0"/>
          <w:color w:val="auto"/>
          <w:sz w:val="32"/>
          <w:szCs w:val="32"/>
          <w:highlight w:val="none"/>
          <w:lang w:eastAsia="zh-CN"/>
        </w:rPr>
      </w:pPr>
    </w:p>
    <w:p w14:paraId="2BB7CF6F">
      <w:pPr>
        <w:numPr>
          <w:ilvl w:val="0"/>
          <w:numId w:val="0"/>
        </w:numPr>
        <w:spacing w:line="360" w:lineRule="auto"/>
        <w:ind w:firstLine="640" w:firstLineChars="200"/>
        <w:textAlignment w:val="baseline"/>
        <w:rPr>
          <w:rFonts w:hint="eastAsia" w:ascii="彩虹粗仿宋" w:hAnsi="宋体" w:eastAsia="彩虹粗仿宋"/>
          <w:b w:val="0"/>
          <w:bCs w:val="0"/>
          <w:color w:val="auto"/>
          <w:sz w:val="32"/>
          <w:szCs w:val="32"/>
          <w:highlight w:val="none"/>
          <w:lang w:val="en-US" w:eastAsia="zh-CN"/>
        </w:rPr>
      </w:pPr>
      <w:r>
        <w:rPr>
          <w:rFonts w:hint="eastAsia" w:ascii="彩虹粗仿宋" w:hAnsi="宋体" w:eastAsia="彩虹粗仿宋"/>
          <w:b w:val="0"/>
          <w:bCs w:val="0"/>
          <w:color w:val="auto"/>
          <w:sz w:val="32"/>
          <w:szCs w:val="32"/>
          <w:highlight w:val="none"/>
          <w:lang w:val="en-US" w:eastAsia="zh-CN"/>
        </w:rPr>
        <w:t>附表：南宁县域支行网点营业地址</w:t>
      </w:r>
    </w:p>
    <w:tbl>
      <w:tblPr>
        <w:tblStyle w:val="2"/>
        <w:tblW w:w="9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815"/>
        <w:gridCol w:w="3225"/>
        <w:gridCol w:w="3450"/>
      </w:tblGrid>
      <w:tr w14:paraId="1E26C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8BE1">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F5AE6">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二级分行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6059">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AD13">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5BA36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391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109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区分行营业部</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294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上林支行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AB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大丰镇丰岭路150号</w:t>
            </w:r>
          </w:p>
        </w:tc>
      </w:tr>
      <w:tr w14:paraId="2ABDD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E83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9CC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南宁新城支行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96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武鸣东盟开发区支行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9DA6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广西-东盟经济技术开发区武华大道168号华天茗城10号楼5、6、7号铺面</w:t>
            </w:r>
          </w:p>
        </w:tc>
      </w:tr>
      <w:tr w14:paraId="56A05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67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94AA8">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44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武鸣城东支行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36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南宁市武鸣区香山大道1号恒泰丽园6号楼47、48、49、50号商铺</w:t>
            </w:r>
          </w:p>
        </w:tc>
      </w:tr>
      <w:tr w14:paraId="54F26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C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9692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4F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武鸣支行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83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南宁市武鸣区灵源路96号</w:t>
            </w:r>
          </w:p>
        </w:tc>
      </w:tr>
      <w:tr w14:paraId="3D3AD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4E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7E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南宁园湖支行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339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横州茉莉花大道支行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5F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南宁市横州市横州镇茉莉花大道531号</w:t>
            </w:r>
          </w:p>
        </w:tc>
      </w:tr>
      <w:tr w14:paraId="401F0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D4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67904">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B5C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横州支行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6B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南宁市横州市横州镇淮海路1号</w:t>
            </w:r>
          </w:p>
        </w:tc>
      </w:tr>
      <w:tr w14:paraId="03CEE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7F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3E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南宁高新支行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60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马山支行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F8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马山县金轮大道498号名厦地王国际B座一楼</w:t>
            </w:r>
          </w:p>
        </w:tc>
      </w:tr>
      <w:tr w14:paraId="3D76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63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D54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南宁江南支行</w:t>
            </w: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A9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宾阳黎塘支行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71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宾阳县黎塘镇金龙大道14号A地块金源大厦101号、102号</w:t>
            </w:r>
          </w:p>
        </w:tc>
      </w:tr>
      <w:tr w14:paraId="43663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1E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C839C">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29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宾阳财政路支行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69E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宾阳县宾州镇财政路106号</w:t>
            </w:r>
          </w:p>
        </w:tc>
      </w:tr>
      <w:tr w14:paraId="321C5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A4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11BD3">
            <w:pPr>
              <w:jc w:val="center"/>
              <w:rPr>
                <w:rFonts w:hint="eastAsia" w:ascii="宋体" w:hAnsi="宋体" w:eastAsia="宋体" w:cs="宋体"/>
                <w:i w:val="0"/>
                <w:iCs w:val="0"/>
                <w:color w:val="000000"/>
                <w:sz w:val="24"/>
                <w:szCs w:val="24"/>
                <w:u w:val="none"/>
              </w:rPr>
            </w:pPr>
          </w:p>
        </w:tc>
        <w:tc>
          <w:tcPr>
            <w:tcW w:w="3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6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宾阳支行</w:t>
            </w:r>
          </w:p>
        </w:tc>
        <w:tc>
          <w:tcPr>
            <w:tcW w:w="3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43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南宁市宾阳县宾州镇临浦路146号</w:t>
            </w:r>
          </w:p>
        </w:tc>
      </w:tr>
    </w:tbl>
    <w:p w14:paraId="059803FF">
      <w:pPr>
        <w:numPr>
          <w:ilvl w:val="0"/>
          <w:numId w:val="0"/>
        </w:numPr>
        <w:spacing w:line="360" w:lineRule="auto"/>
        <w:ind w:firstLine="640" w:firstLineChars="200"/>
        <w:textAlignment w:val="baseline"/>
        <w:rPr>
          <w:rFonts w:hint="eastAsia" w:ascii="彩虹粗仿宋" w:hAnsi="宋体" w:eastAsia="彩虹粗仿宋"/>
          <w:b w:val="0"/>
          <w:bCs w:val="0"/>
          <w:color w:val="auto"/>
          <w:sz w:val="32"/>
          <w:szCs w:val="32"/>
          <w:highlight w:val="none"/>
          <w:lang w:val="en-US" w:eastAsia="zh-CN"/>
        </w:rPr>
      </w:pPr>
    </w:p>
    <w:p w14:paraId="07A262C4">
      <w:pPr>
        <w:numPr>
          <w:ilvl w:val="0"/>
          <w:numId w:val="0"/>
        </w:numPr>
        <w:spacing w:line="360" w:lineRule="auto"/>
        <w:ind w:firstLine="640" w:firstLineChars="200"/>
        <w:textAlignment w:val="baseline"/>
        <w:rPr>
          <w:rFonts w:hint="default" w:ascii="彩虹粗仿宋" w:hAnsi="宋体" w:eastAsia="彩虹粗仿宋"/>
          <w:b w:val="0"/>
          <w:bCs w:val="0"/>
          <w:color w:val="auto"/>
          <w:sz w:val="32"/>
          <w:szCs w:val="32"/>
          <w:highlight w:val="none"/>
          <w:lang w:val="en-US" w:eastAsia="zh-CN"/>
        </w:rPr>
      </w:pPr>
    </w:p>
    <w:p w14:paraId="3D154FD1">
      <w:pPr>
        <w:spacing w:line="560" w:lineRule="exact"/>
        <w:ind w:firstLine="640" w:firstLineChars="200"/>
        <w:rPr>
          <w:rFonts w:hint="eastAsia" w:ascii="彩虹粗仿宋" w:hAnsi="宋体" w:eastAsia="彩虹粗仿宋"/>
          <w:color w:val="auto"/>
          <w:sz w:val="32"/>
          <w:szCs w:val="32"/>
          <w:highlight w:val="none"/>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1E6B43"/>
    <w:multiLevelType w:val="singleLevel"/>
    <w:tmpl w:val="CB1E6B4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0C7B4CE0"/>
    <w:rsid w:val="102046DB"/>
    <w:rsid w:val="10B347E3"/>
    <w:rsid w:val="14A9568C"/>
    <w:rsid w:val="251519E5"/>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